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3C" w:rsidRDefault="00A95C3C" w:rsidP="00A95C3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A95C3C" w:rsidRDefault="00A95C3C" w:rsidP="00A95C3C">
      <w:pPr>
        <w:pStyle w:val="berschrift4"/>
      </w:pPr>
    </w:p>
    <w:p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D7598D" w:rsidP="00AF522A">
            <w:pPr>
              <w:pStyle w:val="berschrift5"/>
              <w:rPr>
                <w:bCs/>
                <w:iCs/>
              </w:rPr>
            </w:pPr>
            <w:r>
              <w:t>Fehlerlichtbogenerkennung</w:t>
            </w:r>
          </w:p>
        </w:tc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2606D7" w:rsidP="00A95C3C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Wenn‘s </w:t>
      </w:r>
      <w:r w:rsidR="00BC2AE9">
        <w:rPr>
          <w:rFonts w:ascii="Arial" w:hAnsi="Arial" w:cs="Arial"/>
          <w:b/>
          <w:sz w:val="34"/>
          <w:szCs w:val="34"/>
        </w:rPr>
        <w:t>funkt: die neuen Brandschutzschalter</w:t>
      </w:r>
      <w:r w:rsidR="00A95C3C">
        <w:rPr>
          <w:rFonts w:ascii="Arial" w:hAnsi="Arial" w:cs="Arial"/>
          <w:b/>
          <w:sz w:val="34"/>
          <w:szCs w:val="34"/>
        </w:rPr>
        <w:br/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Doepkes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2AE9">
        <w:rPr>
          <w:rFonts w:ascii="Arial" w:hAnsi="Arial" w:cs="Arial"/>
          <w:b/>
          <w:sz w:val="28"/>
          <w:szCs w:val="28"/>
          <w:u w:val="single"/>
        </w:rPr>
        <w:t>AFDD mindern die Brandgefahr</w:t>
      </w:r>
      <w:r w:rsidR="00F94026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3A78DA" w:rsidRDefault="00554885" w:rsidP="00C65A12">
      <w:pPr>
        <w:rPr>
          <w:rFonts w:ascii="Arial" w:hAnsi="Arial" w:cs="Arial"/>
        </w:rPr>
      </w:pPr>
      <w:r w:rsidRPr="00F94026">
        <w:rPr>
          <w:rFonts w:ascii="Arial" w:hAnsi="Arial" w:cs="Arial"/>
          <w:b/>
        </w:rPr>
        <w:t xml:space="preserve">Norden, </w:t>
      </w:r>
      <w:r w:rsidR="0033224E">
        <w:rPr>
          <w:rFonts w:ascii="Arial" w:hAnsi="Arial" w:cs="Arial"/>
          <w:b/>
        </w:rPr>
        <w:t>Dezember</w:t>
      </w:r>
      <w:bookmarkStart w:id="0" w:name="_GoBack"/>
      <w:bookmarkEnd w:id="0"/>
      <w:r w:rsidR="002D2761" w:rsidRPr="00F94026">
        <w:rPr>
          <w:rFonts w:ascii="Arial" w:hAnsi="Arial" w:cs="Arial"/>
          <w:b/>
        </w:rPr>
        <w:t xml:space="preserve"> 2016</w:t>
      </w:r>
      <w:r w:rsidRPr="00F94026">
        <w:rPr>
          <w:rFonts w:ascii="Arial" w:hAnsi="Arial" w:cs="Arial"/>
          <w:b/>
        </w:rPr>
        <w:t>:</w:t>
      </w:r>
      <w:r w:rsidR="00476FA5" w:rsidRPr="00F94026">
        <w:rPr>
          <w:rFonts w:ascii="Arial" w:hAnsi="Arial" w:cs="Arial"/>
          <w:b/>
        </w:rPr>
        <w:t xml:space="preserve"> </w:t>
      </w:r>
      <w:proofErr w:type="spellStart"/>
      <w:r w:rsidR="002606D7">
        <w:rPr>
          <w:rFonts w:ascii="Arial" w:hAnsi="Arial" w:cs="Arial"/>
          <w:b/>
        </w:rPr>
        <w:t>Doepkes</w:t>
      </w:r>
      <w:proofErr w:type="spellEnd"/>
      <w:r w:rsidR="002606D7">
        <w:rPr>
          <w:rFonts w:ascii="Arial" w:hAnsi="Arial" w:cs="Arial"/>
          <w:b/>
        </w:rPr>
        <w:t xml:space="preserve"> Brandschutzschalter AFDD (</w:t>
      </w:r>
      <w:proofErr w:type="spellStart"/>
      <w:r w:rsidR="0034544D">
        <w:rPr>
          <w:rFonts w:ascii="Arial" w:hAnsi="Arial" w:cs="Arial"/>
          <w:b/>
        </w:rPr>
        <w:t>A</w:t>
      </w:r>
      <w:r w:rsidR="002606D7">
        <w:rPr>
          <w:rFonts w:ascii="Arial" w:hAnsi="Arial" w:cs="Arial"/>
          <w:b/>
        </w:rPr>
        <w:t>rc</w:t>
      </w:r>
      <w:proofErr w:type="spellEnd"/>
      <w:r w:rsidR="002606D7">
        <w:rPr>
          <w:rFonts w:ascii="Arial" w:hAnsi="Arial" w:cs="Arial"/>
          <w:b/>
        </w:rPr>
        <w:t xml:space="preserve"> </w:t>
      </w:r>
      <w:r w:rsidR="0034544D">
        <w:rPr>
          <w:rFonts w:ascii="Arial" w:hAnsi="Arial" w:cs="Arial"/>
          <w:b/>
        </w:rPr>
        <w:t>F</w:t>
      </w:r>
      <w:r w:rsidR="002606D7">
        <w:rPr>
          <w:rFonts w:ascii="Arial" w:hAnsi="Arial" w:cs="Arial"/>
          <w:b/>
        </w:rPr>
        <w:t xml:space="preserve">ault </w:t>
      </w:r>
      <w:proofErr w:type="spellStart"/>
      <w:r w:rsidR="0034544D">
        <w:rPr>
          <w:rFonts w:ascii="Arial" w:hAnsi="Arial" w:cs="Arial"/>
          <w:b/>
        </w:rPr>
        <w:t>D</w:t>
      </w:r>
      <w:r w:rsidR="002606D7">
        <w:rPr>
          <w:rFonts w:ascii="Arial" w:hAnsi="Arial" w:cs="Arial"/>
          <w:b/>
        </w:rPr>
        <w:t>etection</w:t>
      </w:r>
      <w:proofErr w:type="spellEnd"/>
      <w:r w:rsidR="002606D7">
        <w:rPr>
          <w:rFonts w:ascii="Arial" w:hAnsi="Arial" w:cs="Arial"/>
          <w:b/>
        </w:rPr>
        <w:t xml:space="preserve"> </w:t>
      </w:r>
      <w:r w:rsidR="0034544D">
        <w:rPr>
          <w:rFonts w:ascii="Arial" w:hAnsi="Arial" w:cs="Arial"/>
          <w:b/>
        </w:rPr>
        <w:t>D</w:t>
      </w:r>
      <w:r w:rsidR="002606D7">
        <w:rPr>
          <w:rFonts w:ascii="Arial" w:hAnsi="Arial" w:cs="Arial"/>
          <w:b/>
        </w:rPr>
        <w:t xml:space="preserve">evice) </w:t>
      </w:r>
      <w:r w:rsidR="002028B9">
        <w:rPr>
          <w:rFonts w:ascii="Arial" w:hAnsi="Arial" w:cs="Arial"/>
          <w:b/>
        </w:rPr>
        <w:t xml:space="preserve">erfassen hochfrequente </w:t>
      </w:r>
      <w:r w:rsidR="007E27B5">
        <w:rPr>
          <w:rFonts w:ascii="Arial" w:hAnsi="Arial" w:cs="Arial"/>
          <w:b/>
        </w:rPr>
        <w:t>Fehler</w:t>
      </w:r>
      <w:r w:rsidR="002028B9">
        <w:rPr>
          <w:rFonts w:ascii="Arial" w:hAnsi="Arial" w:cs="Arial"/>
          <w:b/>
        </w:rPr>
        <w:t>lichtbögen</w:t>
      </w:r>
      <w:r w:rsidR="00F725FE">
        <w:rPr>
          <w:rFonts w:ascii="Arial" w:hAnsi="Arial" w:cs="Arial"/>
          <w:b/>
        </w:rPr>
        <w:t xml:space="preserve"> gemäß den Anforderungen der DIN </w:t>
      </w:r>
      <w:r w:rsidR="00F10C24">
        <w:rPr>
          <w:rFonts w:ascii="Arial" w:hAnsi="Arial" w:cs="Arial"/>
          <w:b/>
        </w:rPr>
        <w:t>EN 62606</w:t>
      </w:r>
      <w:r w:rsidR="002028B9">
        <w:rPr>
          <w:rFonts w:ascii="Arial" w:hAnsi="Arial" w:cs="Arial"/>
          <w:b/>
        </w:rPr>
        <w:t xml:space="preserve">. </w:t>
      </w:r>
      <w:r w:rsidR="006C0E46">
        <w:rPr>
          <w:rFonts w:ascii="Arial" w:hAnsi="Arial" w:cs="Arial"/>
          <w:b/>
        </w:rPr>
        <w:t>Beim Erkennen von gefährlichen Lichtbögen wird der Stromkreis unterbrochen</w:t>
      </w:r>
      <w:r w:rsidR="002028B9">
        <w:rPr>
          <w:rFonts w:ascii="Arial" w:hAnsi="Arial" w:cs="Arial"/>
          <w:b/>
        </w:rPr>
        <w:t xml:space="preserve">. </w:t>
      </w:r>
      <w:r w:rsidR="006C0E46">
        <w:rPr>
          <w:rFonts w:ascii="Arial" w:hAnsi="Arial" w:cs="Arial"/>
          <w:b/>
        </w:rPr>
        <w:t>Dies verhindert</w:t>
      </w:r>
      <w:r w:rsidR="00B641E4">
        <w:rPr>
          <w:rFonts w:ascii="Arial" w:hAnsi="Arial" w:cs="Arial"/>
          <w:b/>
        </w:rPr>
        <w:t xml:space="preserve"> frühzeitig</w:t>
      </w:r>
      <w:r w:rsidR="006C0E46">
        <w:rPr>
          <w:rFonts w:ascii="Arial" w:hAnsi="Arial" w:cs="Arial"/>
          <w:b/>
        </w:rPr>
        <w:t xml:space="preserve"> die Überhitzung und die Brandgefahr durch </w:t>
      </w:r>
      <w:r w:rsidR="003979AF">
        <w:rPr>
          <w:rFonts w:ascii="Arial" w:hAnsi="Arial" w:cs="Arial"/>
          <w:b/>
        </w:rPr>
        <w:t xml:space="preserve">beispielsweise </w:t>
      </w:r>
      <w:r w:rsidR="006C0E46">
        <w:rPr>
          <w:rFonts w:ascii="Arial" w:hAnsi="Arial" w:cs="Arial"/>
          <w:b/>
        </w:rPr>
        <w:t>überspringende Funken</w:t>
      </w:r>
      <w:r w:rsidR="00BC2AE9">
        <w:rPr>
          <w:rFonts w:ascii="Arial" w:hAnsi="Arial" w:cs="Arial"/>
          <w:b/>
        </w:rPr>
        <w:t>.</w:t>
      </w:r>
      <w:r w:rsidR="006C0E46">
        <w:rPr>
          <w:rFonts w:ascii="Arial" w:hAnsi="Arial" w:cs="Arial"/>
          <w:b/>
        </w:rPr>
        <w:t xml:space="preserve"> </w:t>
      </w:r>
      <w:r w:rsidR="007101A2">
        <w:rPr>
          <w:rFonts w:ascii="Arial" w:hAnsi="Arial" w:cs="Arial"/>
          <w:b/>
        </w:rPr>
        <w:t xml:space="preserve">Umliegende Materialien werden vor </w:t>
      </w:r>
      <w:r w:rsidR="008F5CD4">
        <w:rPr>
          <w:rFonts w:ascii="Arial" w:hAnsi="Arial" w:cs="Arial"/>
          <w:b/>
        </w:rPr>
        <w:t>Beschädigung</w:t>
      </w:r>
      <w:r w:rsidR="00C12B02">
        <w:rPr>
          <w:rFonts w:ascii="Arial" w:hAnsi="Arial" w:cs="Arial"/>
          <w:b/>
        </w:rPr>
        <w:t xml:space="preserve"> durch z. B. Schmelzen</w:t>
      </w:r>
      <w:r w:rsidR="008F5CD4">
        <w:rPr>
          <w:rFonts w:ascii="Arial" w:hAnsi="Arial" w:cs="Arial"/>
          <w:b/>
        </w:rPr>
        <w:t xml:space="preserve"> </w:t>
      </w:r>
      <w:r w:rsidR="007101A2">
        <w:rPr>
          <w:rFonts w:ascii="Arial" w:hAnsi="Arial" w:cs="Arial"/>
          <w:b/>
        </w:rPr>
        <w:t>geschützt</w:t>
      </w:r>
      <w:r w:rsidR="00C12B02">
        <w:rPr>
          <w:rFonts w:ascii="Arial" w:hAnsi="Arial" w:cs="Arial"/>
          <w:b/>
        </w:rPr>
        <w:t>.</w:t>
      </w:r>
      <w:r w:rsidR="007101A2">
        <w:rPr>
          <w:rFonts w:ascii="Arial" w:hAnsi="Arial" w:cs="Arial"/>
          <w:b/>
        </w:rPr>
        <w:t xml:space="preserve"> </w:t>
      </w:r>
      <w:r w:rsidR="00803CB7">
        <w:rPr>
          <w:rFonts w:ascii="Arial" w:hAnsi="Arial" w:cs="Arial"/>
          <w:b/>
        </w:rPr>
        <w:t xml:space="preserve">Der Einsatz ist für Endstromkreise bis 16 A in z. B. feuergefährdeten Betriebsstätten oder öffentlichen Einrichtungen </w:t>
      </w:r>
      <w:r w:rsidR="00F10C24">
        <w:rPr>
          <w:rFonts w:ascii="Arial" w:hAnsi="Arial" w:cs="Arial"/>
          <w:b/>
        </w:rPr>
        <w:t xml:space="preserve">entsprechend DIN VDE 0100-420 </w:t>
      </w:r>
      <w:r w:rsidR="00803CB7">
        <w:rPr>
          <w:rFonts w:ascii="Arial" w:hAnsi="Arial" w:cs="Arial"/>
          <w:b/>
        </w:rPr>
        <w:t>vorgeschrieben.</w:t>
      </w:r>
    </w:p>
    <w:p w:rsidR="00C12B02" w:rsidRDefault="00803CB7" w:rsidP="00C65A12">
      <w:pPr>
        <w:rPr>
          <w:rFonts w:ascii="Arial" w:hAnsi="Arial" w:cs="Arial"/>
        </w:rPr>
      </w:pPr>
      <w:r>
        <w:rPr>
          <w:rFonts w:ascii="Arial" w:hAnsi="Arial" w:cs="Arial"/>
        </w:rPr>
        <w:t>Der Brandschutzschalter kombiniert drei Funktionen in nur drei Teilungseinheiten</w:t>
      </w:r>
      <w:r w:rsidR="00880CC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Neben Fehlerstromschutz </w:t>
      </w:r>
      <w:r w:rsidR="00F10C2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Leitungsschutz </w:t>
      </w:r>
      <w:r w:rsidR="00F10C24">
        <w:rPr>
          <w:rFonts w:ascii="Arial" w:hAnsi="Arial" w:cs="Arial"/>
        </w:rPr>
        <w:t xml:space="preserve">bietet er </w:t>
      </w:r>
      <w:r>
        <w:rPr>
          <w:rFonts w:ascii="Arial" w:hAnsi="Arial" w:cs="Arial"/>
        </w:rPr>
        <w:t>zusätzliche</w:t>
      </w:r>
      <w:r w:rsidR="00F10C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Schutz vor </w:t>
      </w:r>
      <w:r w:rsidR="00F10C24">
        <w:rPr>
          <w:rFonts w:ascii="Arial" w:hAnsi="Arial" w:cs="Arial"/>
        </w:rPr>
        <w:t>Fehlerl</w:t>
      </w:r>
      <w:r>
        <w:rPr>
          <w:rFonts w:ascii="Arial" w:hAnsi="Arial" w:cs="Arial"/>
        </w:rPr>
        <w:t>ichtb</w:t>
      </w:r>
      <w:r w:rsidR="00F10C24">
        <w:rPr>
          <w:rFonts w:ascii="Arial" w:hAnsi="Arial" w:cs="Arial"/>
        </w:rPr>
        <w:t>ö</w:t>
      </w:r>
      <w:r>
        <w:rPr>
          <w:rFonts w:ascii="Arial" w:hAnsi="Arial" w:cs="Arial"/>
        </w:rPr>
        <w:t>gen.</w:t>
      </w:r>
      <w:r w:rsidR="00880C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</w:t>
      </w:r>
      <w:r w:rsidR="007C32B6">
        <w:rPr>
          <w:rFonts w:ascii="Arial" w:hAnsi="Arial" w:cs="Arial"/>
        </w:rPr>
        <w:t xml:space="preserve"> kombiniert eine</w:t>
      </w:r>
      <w:r w:rsidR="008564B2">
        <w:rPr>
          <w:rFonts w:ascii="Arial" w:hAnsi="Arial" w:cs="Arial"/>
        </w:rPr>
        <w:t xml:space="preserve"> FI-/LS-Kombination </w:t>
      </w:r>
      <w:r w:rsidR="007C32B6">
        <w:rPr>
          <w:rFonts w:ascii="Arial" w:hAnsi="Arial" w:cs="Arial"/>
        </w:rPr>
        <w:t>mit einem Zusatzmodul</w:t>
      </w:r>
      <w:r w:rsidR="005D57C2">
        <w:rPr>
          <w:rFonts w:ascii="Arial" w:hAnsi="Arial" w:cs="Arial"/>
        </w:rPr>
        <w:t xml:space="preserve">, welches </w:t>
      </w:r>
      <w:r w:rsidR="00F10C24">
        <w:rPr>
          <w:rFonts w:ascii="Arial" w:hAnsi="Arial" w:cs="Arial"/>
        </w:rPr>
        <w:t>Fehler</w:t>
      </w:r>
      <w:r w:rsidR="003979AF">
        <w:rPr>
          <w:rFonts w:ascii="Arial" w:hAnsi="Arial" w:cs="Arial"/>
        </w:rPr>
        <w:t>lichtbö</w:t>
      </w:r>
      <w:r w:rsidR="005D57C2">
        <w:rPr>
          <w:rFonts w:ascii="Arial" w:hAnsi="Arial" w:cs="Arial"/>
        </w:rPr>
        <w:t>gen</w:t>
      </w:r>
      <w:r w:rsidR="003979AF">
        <w:rPr>
          <w:rFonts w:ascii="Arial" w:hAnsi="Arial" w:cs="Arial"/>
        </w:rPr>
        <w:t xml:space="preserve"> </w:t>
      </w:r>
      <w:r w:rsidR="005D57C2">
        <w:rPr>
          <w:rFonts w:ascii="Arial" w:hAnsi="Arial" w:cs="Arial"/>
        </w:rPr>
        <w:t>erkenn</w:t>
      </w:r>
      <w:r w:rsidR="003979AF">
        <w:rPr>
          <w:rFonts w:ascii="Arial" w:hAnsi="Arial" w:cs="Arial"/>
        </w:rPr>
        <w:t>t</w:t>
      </w:r>
      <w:r w:rsidR="00F725FE">
        <w:rPr>
          <w:rFonts w:ascii="Arial" w:hAnsi="Arial" w:cs="Arial"/>
        </w:rPr>
        <w:t xml:space="preserve"> und den Stromkreis abschaltet</w:t>
      </w:r>
      <w:r w:rsidR="005D57C2">
        <w:rPr>
          <w:rFonts w:ascii="Arial" w:hAnsi="Arial" w:cs="Arial"/>
        </w:rPr>
        <w:t>.</w:t>
      </w:r>
      <w:r w:rsidR="00C12B02">
        <w:rPr>
          <w:rFonts w:ascii="Arial" w:hAnsi="Arial" w:cs="Arial"/>
        </w:rPr>
        <w:t xml:space="preserve"> </w:t>
      </w:r>
      <w:r w:rsidR="00F725FE">
        <w:rPr>
          <w:rFonts w:ascii="Arial" w:hAnsi="Arial" w:cs="Arial"/>
        </w:rPr>
        <w:t>Serielle und parallele Störlich</w:t>
      </w:r>
      <w:r w:rsidR="006A617A">
        <w:rPr>
          <w:rFonts w:ascii="Arial" w:hAnsi="Arial" w:cs="Arial"/>
        </w:rPr>
        <w:t>t</w:t>
      </w:r>
      <w:r w:rsidR="00F725FE">
        <w:rPr>
          <w:rFonts w:ascii="Arial" w:hAnsi="Arial" w:cs="Arial"/>
        </w:rPr>
        <w:t>bögen können beispielsweise bei Defekten in der Verkabelung auftreten.</w:t>
      </w:r>
      <w:r w:rsidR="00D7598D">
        <w:rPr>
          <w:rFonts w:ascii="Arial" w:hAnsi="Arial" w:cs="Arial"/>
        </w:rPr>
        <w:t xml:space="preserve"> </w:t>
      </w:r>
      <w:r w:rsidR="00AD1C9C" w:rsidRPr="005C2706">
        <w:rPr>
          <w:rFonts w:ascii="Arial" w:hAnsi="Arial" w:cs="Arial"/>
          <w:iCs/>
        </w:rPr>
        <w:t>Durch die</w:t>
      </w:r>
      <w:r w:rsidR="00AD1C9C">
        <w:rPr>
          <w:rFonts w:ascii="Arial" w:hAnsi="Arial" w:cs="Arial"/>
          <w:iCs/>
        </w:rPr>
        <w:t xml:space="preserve"> hohe </w:t>
      </w:r>
      <w:r w:rsidR="00AD1C9C" w:rsidRPr="005C2706">
        <w:rPr>
          <w:rFonts w:ascii="Arial" w:hAnsi="Arial" w:cs="Arial"/>
          <w:bCs/>
        </w:rPr>
        <w:t>thermische Belastung</w:t>
      </w:r>
      <w:r w:rsidR="00602202">
        <w:rPr>
          <w:rFonts w:ascii="Arial" w:hAnsi="Arial" w:cs="Arial"/>
          <w:bCs/>
        </w:rPr>
        <w:t>,</w:t>
      </w:r>
      <w:r w:rsidR="00AD1C9C" w:rsidRPr="005C2706">
        <w:rPr>
          <w:rFonts w:ascii="Arial" w:hAnsi="Arial" w:cs="Arial"/>
          <w:bCs/>
        </w:rPr>
        <w:t xml:space="preserve"> die mit einem Lichtbogen einhergeht, werden umliegende </w:t>
      </w:r>
      <w:r w:rsidR="00AD1C9C" w:rsidRPr="005C2706">
        <w:rPr>
          <w:rFonts w:ascii="Arial" w:hAnsi="Arial" w:cs="Arial"/>
        </w:rPr>
        <w:t>Materialien geschädigt</w:t>
      </w:r>
      <w:r w:rsidR="00AD1C9C">
        <w:rPr>
          <w:rFonts w:ascii="Arial" w:hAnsi="Arial" w:cs="Arial"/>
        </w:rPr>
        <w:t xml:space="preserve">. </w:t>
      </w:r>
      <w:r w:rsidR="00D7598D">
        <w:rPr>
          <w:rFonts w:ascii="Arial" w:hAnsi="Arial" w:cs="Arial"/>
        </w:rPr>
        <w:t>Dieser</w:t>
      </w:r>
      <w:r w:rsidR="00AD1C9C">
        <w:rPr>
          <w:rFonts w:ascii="Arial" w:hAnsi="Arial" w:cs="Arial"/>
        </w:rPr>
        <w:t xml:space="preserve"> meist unerkannte</w:t>
      </w:r>
      <w:r w:rsidR="00D7598D">
        <w:rPr>
          <w:rFonts w:ascii="Arial" w:hAnsi="Arial" w:cs="Arial"/>
        </w:rPr>
        <w:t xml:space="preserve"> Prozess kann sich</w:t>
      </w:r>
      <w:r w:rsidR="00B236A0">
        <w:rPr>
          <w:rFonts w:ascii="Arial" w:hAnsi="Arial" w:cs="Arial"/>
        </w:rPr>
        <w:t xml:space="preserve"> </w:t>
      </w:r>
      <w:r w:rsidR="00D7598D">
        <w:rPr>
          <w:rFonts w:ascii="Arial" w:hAnsi="Arial" w:cs="Arial"/>
        </w:rPr>
        <w:t>über einen sehr langen Zeitraum</w:t>
      </w:r>
      <w:r w:rsidR="00B236A0">
        <w:rPr>
          <w:rFonts w:ascii="Arial" w:hAnsi="Arial" w:cs="Arial"/>
        </w:rPr>
        <w:t xml:space="preserve">, </w:t>
      </w:r>
      <w:r w:rsidR="00BE0611">
        <w:rPr>
          <w:rFonts w:ascii="Arial" w:hAnsi="Arial" w:cs="Arial"/>
        </w:rPr>
        <w:t>sogar bis</w:t>
      </w:r>
      <w:r w:rsidR="00B236A0">
        <w:rPr>
          <w:rFonts w:ascii="Arial" w:hAnsi="Arial" w:cs="Arial"/>
        </w:rPr>
        <w:t xml:space="preserve"> zu Jahren,</w:t>
      </w:r>
      <w:r w:rsidR="00D7598D">
        <w:rPr>
          <w:rFonts w:ascii="Arial" w:hAnsi="Arial" w:cs="Arial"/>
        </w:rPr>
        <w:t xml:space="preserve"> hinziehen.</w:t>
      </w:r>
    </w:p>
    <w:p w:rsidR="00C65A12" w:rsidRPr="00C65A12" w:rsidRDefault="00531662" w:rsidP="00C65A12">
      <w:pPr>
        <w:rPr>
          <w:rFonts w:ascii="Arial" w:hAnsi="Arial" w:cs="Arial"/>
        </w:rPr>
      </w:pPr>
      <w:r>
        <w:rPr>
          <w:rFonts w:ascii="Arial" w:hAnsi="Arial" w:cs="Arial"/>
        </w:rPr>
        <w:t>Der Brandschutzschalter erfasst sinusförmige Wechsel- sowie pulsierende Gleichfehlerströme.</w:t>
      </w:r>
      <w:r w:rsidR="00412D91">
        <w:rPr>
          <w:rFonts w:ascii="Arial" w:hAnsi="Arial" w:cs="Arial"/>
        </w:rPr>
        <w:t xml:space="preserve"> </w:t>
      </w:r>
      <w:r w:rsidR="00D7598D">
        <w:rPr>
          <w:rFonts w:ascii="Arial" w:hAnsi="Arial" w:cs="Arial"/>
        </w:rPr>
        <w:t>Das 2-polige Gerät wird in Stromstärken von 10 bis 40 A, mit einer Leitungsschutz-Charakteristik B oder C</w:t>
      </w:r>
      <w:r w:rsidR="00D7598D" w:rsidRPr="003A1AEB">
        <w:rPr>
          <w:rFonts w:ascii="Arial" w:hAnsi="Arial" w:cs="Arial"/>
        </w:rPr>
        <w:t xml:space="preserve"> </w:t>
      </w:r>
      <w:r w:rsidR="00D7598D">
        <w:rPr>
          <w:rFonts w:ascii="Arial" w:hAnsi="Arial" w:cs="Arial"/>
        </w:rPr>
        <w:t>und sogar in der kurzzeitverzögerten Variante angeboten. Die Neutralleiterposition ist frei wählbar. Durch die kompakte Bauweise spart er außerdem Platz im Verteilerkasten.</w:t>
      </w:r>
    </w:p>
    <w:p w:rsidR="00A95C3C" w:rsidRDefault="00A95C3C" w:rsidP="00A95C3C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Doepke Schaltgeräte GmbH, </w:t>
      </w:r>
      <w:r w:rsidR="00B936CA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Melanie Brandes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8F5CD4" w:rsidRPr="008F5CD4" w:rsidRDefault="00A95C3C" w:rsidP="008F5CD4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Tel.: 049 31-18 06 8</w:t>
      </w:r>
      <w:r w:rsidR="00B936CA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26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,</w:t>
      </w:r>
      <w:r w:rsidR="00E0504F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 Fax: 049 31-18 06 808, E-Mail: </w:t>
      </w:r>
      <w:r w:rsidR="00B936CA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melanie.brandes</w:t>
      </w:r>
      <w:hyperlink r:id="rId5" w:history="1"/>
      <w:r w:rsidRPr="00876F9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8F5CD4" w:rsidRPr="008F5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3C"/>
    <w:rsid w:val="000063EC"/>
    <w:rsid w:val="0002568B"/>
    <w:rsid w:val="00093E13"/>
    <w:rsid w:val="000966F7"/>
    <w:rsid w:val="000A6137"/>
    <w:rsid w:val="000F4E2A"/>
    <w:rsid w:val="00166528"/>
    <w:rsid w:val="001B6CFE"/>
    <w:rsid w:val="001D4B53"/>
    <w:rsid w:val="001D4C9E"/>
    <w:rsid w:val="001E05A0"/>
    <w:rsid w:val="001F1240"/>
    <w:rsid w:val="002028B9"/>
    <w:rsid w:val="0020658A"/>
    <w:rsid w:val="00207B73"/>
    <w:rsid w:val="00216019"/>
    <w:rsid w:val="00251B1F"/>
    <w:rsid w:val="002606D7"/>
    <w:rsid w:val="00274ED2"/>
    <w:rsid w:val="002D2761"/>
    <w:rsid w:val="002F57DD"/>
    <w:rsid w:val="00304FDB"/>
    <w:rsid w:val="00324EC4"/>
    <w:rsid w:val="0033224E"/>
    <w:rsid w:val="0034544D"/>
    <w:rsid w:val="003608DA"/>
    <w:rsid w:val="003941B0"/>
    <w:rsid w:val="003979AF"/>
    <w:rsid w:val="003A78DA"/>
    <w:rsid w:val="003B4956"/>
    <w:rsid w:val="003C1DDF"/>
    <w:rsid w:val="003C3430"/>
    <w:rsid w:val="003C4F43"/>
    <w:rsid w:val="003D036D"/>
    <w:rsid w:val="003E5889"/>
    <w:rsid w:val="003F093A"/>
    <w:rsid w:val="00402BCA"/>
    <w:rsid w:val="00412D91"/>
    <w:rsid w:val="0041328B"/>
    <w:rsid w:val="00442128"/>
    <w:rsid w:val="00447F62"/>
    <w:rsid w:val="00461589"/>
    <w:rsid w:val="00476FA5"/>
    <w:rsid w:val="004C5E49"/>
    <w:rsid w:val="004C74CF"/>
    <w:rsid w:val="004D1BDD"/>
    <w:rsid w:val="004D26B1"/>
    <w:rsid w:val="004E5B86"/>
    <w:rsid w:val="004F1DAF"/>
    <w:rsid w:val="0051373F"/>
    <w:rsid w:val="00531662"/>
    <w:rsid w:val="0054044F"/>
    <w:rsid w:val="005536EB"/>
    <w:rsid w:val="00554885"/>
    <w:rsid w:val="00591A3B"/>
    <w:rsid w:val="00596D5D"/>
    <w:rsid w:val="005A1F22"/>
    <w:rsid w:val="005B0EFF"/>
    <w:rsid w:val="005B2EDE"/>
    <w:rsid w:val="005C163C"/>
    <w:rsid w:val="005D22A5"/>
    <w:rsid w:val="005D57C2"/>
    <w:rsid w:val="005D5C41"/>
    <w:rsid w:val="005D73B0"/>
    <w:rsid w:val="005F2586"/>
    <w:rsid w:val="005F42DD"/>
    <w:rsid w:val="00602202"/>
    <w:rsid w:val="00606F22"/>
    <w:rsid w:val="00621D1B"/>
    <w:rsid w:val="006414CC"/>
    <w:rsid w:val="00661B92"/>
    <w:rsid w:val="006A05AD"/>
    <w:rsid w:val="006A617A"/>
    <w:rsid w:val="006B1282"/>
    <w:rsid w:val="006B4B7C"/>
    <w:rsid w:val="006C0E46"/>
    <w:rsid w:val="006C23E6"/>
    <w:rsid w:val="006E0CDC"/>
    <w:rsid w:val="006E141A"/>
    <w:rsid w:val="006F5B22"/>
    <w:rsid w:val="007101A2"/>
    <w:rsid w:val="00780181"/>
    <w:rsid w:val="00783400"/>
    <w:rsid w:val="00784E20"/>
    <w:rsid w:val="007C32B6"/>
    <w:rsid w:val="007C3CB3"/>
    <w:rsid w:val="007D7EAD"/>
    <w:rsid w:val="007E132A"/>
    <w:rsid w:val="007E271F"/>
    <w:rsid w:val="007E27B5"/>
    <w:rsid w:val="007E55F7"/>
    <w:rsid w:val="00803CB7"/>
    <w:rsid w:val="008564B2"/>
    <w:rsid w:val="00866CCF"/>
    <w:rsid w:val="0086771F"/>
    <w:rsid w:val="00876F90"/>
    <w:rsid w:val="00880CC8"/>
    <w:rsid w:val="00881122"/>
    <w:rsid w:val="008B1777"/>
    <w:rsid w:val="008C4E29"/>
    <w:rsid w:val="008D42ED"/>
    <w:rsid w:val="008E46C1"/>
    <w:rsid w:val="008F2BC1"/>
    <w:rsid w:val="008F5CD4"/>
    <w:rsid w:val="00927687"/>
    <w:rsid w:val="0093582C"/>
    <w:rsid w:val="00953B20"/>
    <w:rsid w:val="009C0228"/>
    <w:rsid w:val="00A03905"/>
    <w:rsid w:val="00A11B6D"/>
    <w:rsid w:val="00A25EB4"/>
    <w:rsid w:val="00A338D7"/>
    <w:rsid w:val="00A37F85"/>
    <w:rsid w:val="00A4053A"/>
    <w:rsid w:val="00A4713A"/>
    <w:rsid w:val="00A5660E"/>
    <w:rsid w:val="00A934D7"/>
    <w:rsid w:val="00A95C3C"/>
    <w:rsid w:val="00AB550B"/>
    <w:rsid w:val="00AB75E3"/>
    <w:rsid w:val="00AD1C9C"/>
    <w:rsid w:val="00AD1CD9"/>
    <w:rsid w:val="00AD7E5C"/>
    <w:rsid w:val="00AE624C"/>
    <w:rsid w:val="00B0727F"/>
    <w:rsid w:val="00B236A0"/>
    <w:rsid w:val="00B26801"/>
    <w:rsid w:val="00B407C5"/>
    <w:rsid w:val="00B5465F"/>
    <w:rsid w:val="00B641E4"/>
    <w:rsid w:val="00B66A23"/>
    <w:rsid w:val="00B66EA7"/>
    <w:rsid w:val="00B936CA"/>
    <w:rsid w:val="00BB6C3E"/>
    <w:rsid w:val="00BB7AFA"/>
    <w:rsid w:val="00BC2AE9"/>
    <w:rsid w:val="00BC6C8F"/>
    <w:rsid w:val="00BE0611"/>
    <w:rsid w:val="00BE22DD"/>
    <w:rsid w:val="00BE51F9"/>
    <w:rsid w:val="00BF0DD6"/>
    <w:rsid w:val="00BF2BE7"/>
    <w:rsid w:val="00C12B02"/>
    <w:rsid w:val="00C14216"/>
    <w:rsid w:val="00C16BF3"/>
    <w:rsid w:val="00C24068"/>
    <w:rsid w:val="00C53654"/>
    <w:rsid w:val="00C65A12"/>
    <w:rsid w:val="00CA40E7"/>
    <w:rsid w:val="00CB2C52"/>
    <w:rsid w:val="00CE1A74"/>
    <w:rsid w:val="00CF78A3"/>
    <w:rsid w:val="00D20A39"/>
    <w:rsid w:val="00D24BA6"/>
    <w:rsid w:val="00D27025"/>
    <w:rsid w:val="00D7598D"/>
    <w:rsid w:val="00D919BF"/>
    <w:rsid w:val="00D970E7"/>
    <w:rsid w:val="00D97598"/>
    <w:rsid w:val="00DB0853"/>
    <w:rsid w:val="00DB2ADF"/>
    <w:rsid w:val="00DE3878"/>
    <w:rsid w:val="00DE7D14"/>
    <w:rsid w:val="00E0504F"/>
    <w:rsid w:val="00E44ACF"/>
    <w:rsid w:val="00E46018"/>
    <w:rsid w:val="00E8216C"/>
    <w:rsid w:val="00E92C4B"/>
    <w:rsid w:val="00EA12A0"/>
    <w:rsid w:val="00ED7E97"/>
    <w:rsid w:val="00EF19D4"/>
    <w:rsid w:val="00EF3349"/>
    <w:rsid w:val="00F10C24"/>
    <w:rsid w:val="00F151B1"/>
    <w:rsid w:val="00F17F02"/>
    <w:rsid w:val="00F26701"/>
    <w:rsid w:val="00F452D9"/>
    <w:rsid w:val="00F62BA5"/>
    <w:rsid w:val="00F725FE"/>
    <w:rsid w:val="00F82EEC"/>
    <w:rsid w:val="00F91F89"/>
    <w:rsid w:val="00F94026"/>
    <w:rsid w:val="00FC4CCD"/>
    <w:rsid w:val="00FE2F4E"/>
    <w:rsid w:val="00FF2A4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2D4C-6426-4BC7-B248-1067910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D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Barkhoff, Sylvia</cp:lastModifiedBy>
  <cp:revision>4</cp:revision>
  <cp:lastPrinted>2016-09-26T09:35:00Z</cp:lastPrinted>
  <dcterms:created xsi:type="dcterms:W3CDTF">2016-09-26T14:07:00Z</dcterms:created>
  <dcterms:modified xsi:type="dcterms:W3CDTF">2016-12-14T14:57:00Z</dcterms:modified>
</cp:coreProperties>
</file>